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Default="00987747" w:rsidP="00B00739">
      <w:pPr>
        <w:spacing w:after="0" w:line="480" w:lineRule="auto"/>
        <w:jc w:val="center"/>
        <w:rPr>
          <w:rFonts w:ascii="Times New Roman" w:eastAsia="Times New Roman" w:hAnsi="Times New Roman" w:cs="Times New Roman"/>
          <w:sz w:val="24"/>
          <w:szCs w:val="24"/>
        </w:rPr>
      </w:pPr>
    </w:p>
    <w:p w:rsidR="00B00739" w:rsidRPr="00B00739" w:rsidRDefault="00B00739" w:rsidP="00B00739">
      <w:pPr>
        <w:spacing w:after="0" w:line="480" w:lineRule="auto"/>
        <w:jc w:val="center"/>
        <w:rPr>
          <w:rFonts w:ascii="Times New Roman" w:eastAsia="Times New Roman" w:hAnsi="Times New Roman" w:cs="Times New Roman"/>
          <w:sz w:val="24"/>
          <w:szCs w:val="24"/>
        </w:rPr>
      </w:pPr>
    </w:p>
    <w:p w:rsidR="00A70DE5" w:rsidRDefault="00A70DE5" w:rsidP="00B00739">
      <w:pPr>
        <w:spacing w:after="0" w:line="480" w:lineRule="auto"/>
        <w:jc w:val="center"/>
        <w:rPr>
          <w:rFonts w:ascii="Times New Roman" w:eastAsia="Times New Roman" w:hAnsi="Times New Roman" w:cs="Times New Roman"/>
          <w:sz w:val="24"/>
          <w:szCs w:val="24"/>
        </w:rPr>
      </w:pPr>
    </w:p>
    <w:p w:rsidR="006C00B1" w:rsidRPr="00B00739" w:rsidRDefault="006C00B1"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jc w:val="center"/>
        <w:rPr>
          <w:rFonts w:ascii="Times New Roman" w:eastAsia="Times New Roman" w:hAnsi="Times New Roman" w:cs="Times New Roman"/>
          <w:sz w:val="24"/>
          <w:szCs w:val="24"/>
        </w:rPr>
      </w:pPr>
    </w:p>
    <w:p w:rsidR="00987747" w:rsidRPr="00B00739" w:rsidRDefault="00987747" w:rsidP="00B00739">
      <w:pPr>
        <w:spacing w:after="0" w:line="480" w:lineRule="auto"/>
        <w:ind w:firstLine="360"/>
        <w:jc w:val="center"/>
        <w:rPr>
          <w:rFonts w:ascii="Times New Roman" w:eastAsia="Times New Roman" w:hAnsi="Times New Roman" w:cs="Times New Roman"/>
          <w:sz w:val="24"/>
          <w:szCs w:val="24"/>
        </w:rPr>
      </w:pPr>
      <w:r w:rsidRPr="00B00739">
        <w:rPr>
          <w:rFonts w:ascii="Times New Roman" w:eastAsia="Times New Roman" w:hAnsi="Times New Roman" w:cs="Times New Roman"/>
          <w:sz w:val="24"/>
          <w:szCs w:val="24"/>
        </w:rPr>
        <w:t>Paper on Enron ethics.</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Name</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Instructor</w:t>
      </w:r>
    </w:p>
    <w:p w:rsidR="00987747" w:rsidRPr="00B00739" w:rsidRDefault="00987747" w:rsidP="00B00739">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Course</w:t>
      </w:r>
    </w:p>
    <w:p w:rsidR="00987747" w:rsidRPr="00B00739" w:rsidRDefault="00987747" w:rsidP="00B00739">
      <w:pPr>
        <w:spacing w:line="480" w:lineRule="auto"/>
        <w:ind w:firstLine="720"/>
        <w:jc w:val="center"/>
        <w:rPr>
          <w:rFonts w:ascii="Times New Roman" w:eastAsia="Calibri" w:hAnsi="Times New Roman" w:cs="Times New Roman"/>
          <w:sz w:val="24"/>
          <w:szCs w:val="24"/>
        </w:rPr>
      </w:pPr>
      <w:r w:rsidRPr="00B00739">
        <w:rPr>
          <w:rFonts w:ascii="Times New Roman" w:eastAsia="Calibri" w:hAnsi="Times New Roman" w:cs="Times New Roman"/>
          <w:sz w:val="24"/>
          <w:szCs w:val="24"/>
        </w:rPr>
        <w:t>Date</w:t>
      </w: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ind w:firstLine="720"/>
        <w:jc w:val="center"/>
        <w:rPr>
          <w:rFonts w:ascii="Times New Roman" w:eastAsia="Calibri" w:hAnsi="Times New Roman" w:cs="Times New Roman"/>
          <w:sz w:val="24"/>
          <w:szCs w:val="24"/>
        </w:rPr>
      </w:pPr>
    </w:p>
    <w:p w:rsidR="00987747" w:rsidRPr="00B00739" w:rsidRDefault="00987747"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lastRenderedPageBreak/>
        <w:t xml:space="preserve">How did the corporate culture of Enron contribute to its bankruptcy?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There are several ways through which the Enron’s corporate culture contributed to its bankruptcy. It is clear that the corporate culture was deteriorative and that there were many unethical practices that would contribute to financial misappropriation which later resulted in its bankruptcy. Its culture clearly supported unethical behavior that would not question any actions as long as they resulted in a monetary gain. The company was so concerned with monetary gain such that it did not consider financial ethics and encouraged its employees to solely focus on financial gains irrespective of the course. Many people describe the corporate’s culture as being arrogance but it directly encourages its employees to believe that they could undertake greater risks without necessarily encountering any danger. In addition, the culture unlike in other corporates did not promote values of integrity and respect but instead punished employees who did not catch up with its culture and rewarded innovation. </w:t>
      </w:r>
    </w:p>
    <w:p w:rsidR="00234254" w:rsidRPr="00B00739" w:rsidRDefault="00234254" w:rsidP="00B00739">
      <w:pPr>
        <w:spacing w:line="480" w:lineRule="auto"/>
        <w:ind w:firstLine="720"/>
        <w:rPr>
          <w:rFonts w:ascii="Times New Roman" w:hAnsi="Times New Roman" w:cs="Times New Roman"/>
          <w:b/>
          <w:sz w:val="24"/>
          <w:szCs w:val="24"/>
        </w:rPr>
      </w:pPr>
      <w:r w:rsidRPr="00B00739">
        <w:rPr>
          <w:rFonts w:ascii="Times New Roman" w:hAnsi="Times New Roman" w:cs="Times New Roman"/>
          <w:sz w:val="24"/>
          <w:szCs w:val="24"/>
        </w:rPr>
        <w:t>The culture of evaluation which was dubbed as “rank and yank” is said to have utilized peer evaluations with each division in the company forced to dismiss employees who were considered to be non-performers. All the company’s lowest-ranked employees would be fired immediately and this is what led to the cut-throat competition not only with its competitors but also within the organization</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Brennan,</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This internal competitive culture pitched employees against each other and created rivalry which made many employees cut their communication with the company’s management for fear of being fired. The culture created a ‘survival for the fittest’ atmosphere and this encourages illegal activities as employees struggled to remain top of the game. There is also the compensation culture which more concerned with making a profit for its stakeholders rather concentrating on enriching officer wealth. Its unique culture did not have </w:t>
      </w:r>
      <w:r w:rsidRPr="00B00739">
        <w:rPr>
          <w:rFonts w:ascii="Times New Roman" w:hAnsi="Times New Roman" w:cs="Times New Roman"/>
          <w:sz w:val="24"/>
          <w:szCs w:val="24"/>
        </w:rPr>
        <w:lastRenderedPageBreak/>
        <w:t xml:space="preserve">any problem with breaking rules or even flaunting them. It is this culture that led to the company becoming bankrupt. </w:t>
      </w:r>
    </w:p>
    <w:p w:rsidR="00234254" w:rsidRPr="00B00739" w:rsidRDefault="00234254"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t xml:space="preserve">Did Enron's bankers, auditors, and attorneys contribute to Enron's demise? If so, how?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Yes, the company’s attorneys, bankers, and auditors greatly contributed to its demise. The reason for concluding that they played a role is because they chose to take sides and support what the management wanted rather than being impartial and professional. The banker-Merrill Lynch first facilitated the sale of Nigerian Barges at a record of $12 million in order to meet its earning goals towards the end of 1999. This would later be considered a sham and many believe that such as act was unacceptable and unprofessional. It also took part in the unethical practice of manipulating its income statement. There was a deal that Enron would within a period of six months buy Merrill Lynch and an additional offer of 15% guaranteed return rate. The banker also was committed to pleasing Enron’s management such that at some point it chose to replace one of its competent analysts because he had released a report that it is said to have displeased Enron’s executive. This is one of the reports that many believe that it would have saved Enron from its demise if it was implemented. </w:t>
      </w:r>
    </w:p>
    <w:p w:rsidR="00234254"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The auditors- Arthur Andersen LLP is the company that was responsible for Enron’s internal bookkeeping and also authentication of the financial statement. The financial reports were misleading all through although it was used by investors to judge the company’s financial soundness. Investors were getting misleading information considering that the auditors directly deceived them. Also, the auditors was a major business partner with Enron and some senior executives were offered jobs by Enron and this later is believed to have led to a conflict of interest</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Elson, &amp;Gyves,</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Such a relationship was unprofessional and unethical considering that auditors play a crucial role in any organization. The Attorneys-Vinson &amp; Elkins also failed </w:t>
      </w:r>
      <w:r w:rsidRPr="00B00739">
        <w:rPr>
          <w:rFonts w:ascii="Times New Roman" w:hAnsi="Times New Roman" w:cs="Times New Roman"/>
          <w:sz w:val="24"/>
          <w:szCs w:val="24"/>
        </w:rPr>
        <w:lastRenderedPageBreak/>
        <w:t xml:space="preserve">on its part especially in structuring Enron’s special purpose partnership. It is the actions of the attorneys that legalized the actions of the company and directed contributing to its demise. </w:t>
      </w:r>
    </w:p>
    <w:p w:rsidR="00234254" w:rsidRPr="00B00739" w:rsidRDefault="00234254" w:rsidP="00B00739">
      <w:pPr>
        <w:spacing w:line="480" w:lineRule="auto"/>
        <w:rPr>
          <w:rFonts w:ascii="Times New Roman" w:hAnsi="Times New Roman" w:cs="Times New Roman"/>
          <w:b/>
          <w:sz w:val="24"/>
          <w:szCs w:val="24"/>
        </w:rPr>
      </w:pPr>
      <w:r w:rsidRPr="00B00739">
        <w:rPr>
          <w:rFonts w:ascii="Times New Roman" w:hAnsi="Times New Roman" w:cs="Times New Roman"/>
          <w:b/>
          <w:sz w:val="24"/>
          <w:szCs w:val="24"/>
        </w:rPr>
        <w:t>What role did the company's chief financial officer play in creating the problems that led to Enron's financial problems?</w:t>
      </w:r>
    </w:p>
    <w:p w:rsidR="00EB2BCE" w:rsidRPr="00B00739" w:rsidRDefault="00511BE2"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Enron used all means possible including questionable accounting practices in </w:t>
      </w:r>
      <w:r w:rsidR="006C00B1">
        <w:rPr>
          <w:rFonts w:ascii="Times New Roman" w:hAnsi="Times New Roman" w:cs="Times New Roman"/>
          <w:sz w:val="24"/>
          <w:szCs w:val="24"/>
        </w:rPr>
        <w:t xml:space="preserve">an </w:t>
      </w:r>
      <w:r w:rsidRPr="00B00739">
        <w:rPr>
          <w:rFonts w:ascii="Times New Roman" w:hAnsi="Times New Roman" w:cs="Times New Roman"/>
          <w:sz w:val="24"/>
          <w:szCs w:val="24"/>
        </w:rPr>
        <w:t xml:space="preserve">effort to prevent the company’s financial statement from showing any loses. This led to the misinterpretation of the company’s financial condition and all this was done with </w:t>
      </w:r>
      <w:r w:rsidR="006C00B1">
        <w:rPr>
          <w:rFonts w:ascii="Times New Roman" w:hAnsi="Times New Roman" w:cs="Times New Roman"/>
          <w:sz w:val="24"/>
          <w:szCs w:val="24"/>
        </w:rPr>
        <w:t xml:space="preserve">the </w:t>
      </w:r>
      <w:r w:rsidRPr="00B00739">
        <w:rPr>
          <w:rFonts w:ascii="Times New Roman" w:hAnsi="Times New Roman" w:cs="Times New Roman"/>
          <w:sz w:val="24"/>
          <w:szCs w:val="24"/>
        </w:rPr>
        <w:t xml:space="preserve">help of Andrew Fastow. Andrew was Enron’s CFO and was directly involved in </w:t>
      </w:r>
      <w:r w:rsidR="006C00B1">
        <w:rPr>
          <w:rFonts w:ascii="Times New Roman" w:hAnsi="Times New Roman" w:cs="Times New Roman"/>
          <w:sz w:val="24"/>
          <w:szCs w:val="24"/>
        </w:rPr>
        <w:t xml:space="preserve">an </w:t>
      </w:r>
      <w:r w:rsidRPr="00B00739">
        <w:rPr>
          <w:rFonts w:ascii="Times New Roman" w:hAnsi="Times New Roman" w:cs="Times New Roman"/>
          <w:sz w:val="24"/>
          <w:szCs w:val="24"/>
        </w:rPr>
        <w:t>unconsolidated partnership which would later lead to huge financial losses</w:t>
      </w:r>
      <w:r w:rsidR="00393740">
        <w:rPr>
          <w:rFonts w:ascii="Times New Roman" w:hAnsi="Times New Roman" w:cs="Times New Roman"/>
          <w:color w:val="222222"/>
          <w:sz w:val="24"/>
          <w:szCs w:val="24"/>
          <w:shd w:val="clear" w:color="auto" w:fill="FFFFFF"/>
        </w:rPr>
        <w:t>(</w:t>
      </w:r>
      <w:r w:rsidR="00393740" w:rsidRPr="00B00739">
        <w:rPr>
          <w:rFonts w:ascii="Times New Roman" w:hAnsi="Times New Roman" w:cs="Times New Roman"/>
          <w:color w:val="222222"/>
          <w:sz w:val="24"/>
          <w:szCs w:val="24"/>
          <w:shd w:val="clear" w:color="auto" w:fill="FFFFFF"/>
        </w:rPr>
        <w:t>Healy, &amp;Palepu,</w:t>
      </w:r>
      <w:r w:rsidR="00393740">
        <w:rPr>
          <w:rFonts w:ascii="Times New Roman" w:hAnsi="Times New Roman" w:cs="Times New Roman"/>
          <w:color w:val="222222"/>
          <w:sz w:val="24"/>
          <w:szCs w:val="24"/>
          <w:shd w:val="clear" w:color="auto" w:fill="FFFFFF"/>
        </w:rPr>
        <w:t xml:space="preserve"> 2003)</w:t>
      </w:r>
      <w:r w:rsidRPr="00B00739">
        <w:rPr>
          <w:rFonts w:ascii="Times New Roman" w:hAnsi="Times New Roman" w:cs="Times New Roman"/>
          <w:sz w:val="24"/>
          <w:szCs w:val="24"/>
        </w:rPr>
        <w:t xml:space="preserve">. </w:t>
      </w:r>
      <w:r w:rsidR="00234254" w:rsidRPr="00B00739">
        <w:rPr>
          <w:rFonts w:ascii="Times New Roman" w:hAnsi="Times New Roman" w:cs="Times New Roman"/>
          <w:sz w:val="24"/>
          <w:szCs w:val="24"/>
        </w:rPr>
        <w:t xml:space="preserve">One of the most disputed practice was the idea of raising money for various needs and not necessarily be compelled to reflect that on the balance sheet. This would later cause many issues considering that many of the company’s partnership was solely meant for purchasing underperforming assets. Although these partners were recorded as third parties, there was a scheme to cook numbers and ensure that investors never received actual reports. </w:t>
      </w:r>
    </w:p>
    <w:p w:rsidR="00511BE2" w:rsidRPr="00B00739" w:rsidRDefault="00234254" w:rsidP="00B00739">
      <w:pPr>
        <w:spacing w:line="480" w:lineRule="auto"/>
        <w:ind w:firstLine="720"/>
        <w:rPr>
          <w:rFonts w:ascii="Times New Roman" w:hAnsi="Times New Roman" w:cs="Times New Roman"/>
          <w:sz w:val="24"/>
          <w:szCs w:val="24"/>
        </w:rPr>
      </w:pPr>
      <w:r w:rsidRPr="00B00739">
        <w:rPr>
          <w:rFonts w:ascii="Times New Roman" w:hAnsi="Times New Roman" w:cs="Times New Roman"/>
          <w:sz w:val="24"/>
          <w:szCs w:val="24"/>
        </w:rPr>
        <w:t xml:space="preserve">There is also evidence that Andrew Fastow was using SPE’s to conceal more than $1billion debts attached to Enron. There are also other revelations that show much misleading information that the chief financial officer gave in regards to boosting the company’s monetary gains. </w:t>
      </w:r>
      <w:r w:rsidR="00511BE2" w:rsidRPr="00B00739">
        <w:rPr>
          <w:rFonts w:ascii="Times New Roman" w:hAnsi="Times New Roman" w:cs="Times New Roman"/>
          <w:sz w:val="24"/>
          <w:szCs w:val="24"/>
        </w:rPr>
        <w:t xml:space="preserve">Fastow was getting kickbacks from LJM and it is reported that he </w:t>
      </w:r>
      <w:r w:rsidR="006C00B1">
        <w:rPr>
          <w:rFonts w:ascii="Times New Roman" w:hAnsi="Times New Roman" w:cs="Times New Roman"/>
          <w:sz w:val="24"/>
          <w:szCs w:val="24"/>
        </w:rPr>
        <w:t>made more than $30 million, these</w:t>
      </w:r>
      <w:r w:rsidR="00511BE2" w:rsidRPr="00B00739">
        <w:rPr>
          <w:rFonts w:ascii="Times New Roman" w:hAnsi="Times New Roman" w:cs="Times New Roman"/>
          <w:sz w:val="24"/>
          <w:szCs w:val="24"/>
        </w:rPr>
        <w:t xml:space="preserve"> kickbacks were meant for ensuring that he supported those suspicious partnerships. It is also believed that he was collecting gifts from both family members and other investors and this is how </w:t>
      </w:r>
      <w:r w:rsidR="006C00B1">
        <w:rPr>
          <w:rFonts w:ascii="Times New Roman" w:hAnsi="Times New Roman" w:cs="Times New Roman"/>
          <w:sz w:val="24"/>
          <w:szCs w:val="24"/>
        </w:rPr>
        <w:t xml:space="preserve">he </w:t>
      </w:r>
      <w:r w:rsidR="00511BE2" w:rsidRPr="00B00739">
        <w:rPr>
          <w:rFonts w:ascii="Times New Roman" w:hAnsi="Times New Roman" w:cs="Times New Roman"/>
          <w:sz w:val="24"/>
          <w:szCs w:val="24"/>
        </w:rPr>
        <w:t>ende</w:t>
      </w:r>
      <w:r w:rsidR="006C00B1">
        <w:rPr>
          <w:rFonts w:ascii="Times New Roman" w:hAnsi="Times New Roman" w:cs="Times New Roman"/>
          <w:sz w:val="24"/>
          <w:szCs w:val="24"/>
        </w:rPr>
        <w:t xml:space="preserve">d enriching himself. It is these </w:t>
      </w:r>
      <w:r w:rsidR="00511BE2" w:rsidRPr="00B00739">
        <w:rPr>
          <w:rFonts w:ascii="Times New Roman" w:hAnsi="Times New Roman" w:cs="Times New Roman"/>
          <w:sz w:val="24"/>
          <w:szCs w:val="24"/>
        </w:rPr>
        <w:t xml:space="preserve">unethical practices and also the manipulation of balance sheets to hide debts that later landed the company into bankruptcy. </w:t>
      </w:r>
    </w:p>
    <w:p w:rsidR="00A70DE5" w:rsidRPr="00B00739" w:rsidRDefault="00A70DE5" w:rsidP="00B00739">
      <w:pPr>
        <w:spacing w:line="480" w:lineRule="auto"/>
        <w:jc w:val="center"/>
        <w:rPr>
          <w:rFonts w:ascii="Times New Roman" w:hAnsi="Times New Roman" w:cs="Times New Roman"/>
          <w:sz w:val="24"/>
          <w:szCs w:val="24"/>
        </w:rPr>
      </w:pPr>
      <w:r w:rsidRPr="00B00739">
        <w:rPr>
          <w:rFonts w:ascii="Times New Roman" w:hAnsi="Times New Roman" w:cs="Times New Roman"/>
          <w:sz w:val="24"/>
          <w:szCs w:val="24"/>
        </w:rPr>
        <w:lastRenderedPageBreak/>
        <w:t>Reference</w:t>
      </w:r>
      <w:r w:rsidR="00B00739" w:rsidRPr="00B00739">
        <w:rPr>
          <w:rFonts w:ascii="Times New Roman" w:hAnsi="Times New Roman" w:cs="Times New Roman"/>
          <w:sz w:val="24"/>
          <w:szCs w:val="24"/>
        </w:rPr>
        <w:t>s</w:t>
      </w:r>
    </w:p>
    <w:p w:rsidR="00A70DE5" w:rsidRPr="00B00739" w:rsidRDefault="00B00739" w:rsidP="00B00739">
      <w:pPr>
        <w:spacing w:line="480" w:lineRule="auto"/>
        <w:ind w:left="720" w:hanging="720"/>
        <w:rPr>
          <w:rFonts w:ascii="Times New Roman" w:hAnsi="Times New Roman" w:cs="Times New Roman"/>
          <w:color w:val="222222"/>
          <w:sz w:val="24"/>
          <w:szCs w:val="24"/>
          <w:shd w:val="clear" w:color="auto" w:fill="FFFFFF"/>
        </w:rPr>
      </w:pPr>
      <w:r w:rsidRPr="00B00739">
        <w:rPr>
          <w:rFonts w:ascii="Times New Roman" w:hAnsi="Times New Roman" w:cs="Times New Roman"/>
          <w:color w:val="222222"/>
          <w:sz w:val="24"/>
          <w:szCs w:val="24"/>
          <w:shd w:val="clear" w:color="auto" w:fill="FFFFFF"/>
        </w:rPr>
        <w:t>Healy, P. M., &amp;Palepu, K. G. (2003). The fall of Enron. </w:t>
      </w:r>
      <w:r w:rsidRPr="00B00739">
        <w:rPr>
          <w:rFonts w:ascii="Times New Roman" w:hAnsi="Times New Roman" w:cs="Times New Roman"/>
          <w:i/>
          <w:iCs/>
          <w:color w:val="222222"/>
          <w:sz w:val="24"/>
          <w:szCs w:val="24"/>
          <w:shd w:val="clear" w:color="auto" w:fill="FFFFFF"/>
        </w:rPr>
        <w:t>Journal of economic perspectives</w:t>
      </w:r>
      <w:r w:rsidRPr="00B00739">
        <w:rPr>
          <w:rFonts w:ascii="Times New Roman" w:hAnsi="Times New Roman" w:cs="Times New Roman"/>
          <w:color w:val="222222"/>
          <w:sz w:val="24"/>
          <w:szCs w:val="24"/>
          <w:shd w:val="clear" w:color="auto" w:fill="FFFFFF"/>
        </w:rPr>
        <w:t>, </w:t>
      </w:r>
      <w:r w:rsidRPr="00B00739">
        <w:rPr>
          <w:rFonts w:ascii="Times New Roman" w:hAnsi="Times New Roman" w:cs="Times New Roman"/>
          <w:i/>
          <w:iCs/>
          <w:color w:val="222222"/>
          <w:sz w:val="24"/>
          <w:szCs w:val="24"/>
          <w:shd w:val="clear" w:color="auto" w:fill="FFFFFF"/>
        </w:rPr>
        <w:t>17</w:t>
      </w:r>
      <w:r w:rsidRPr="00B00739">
        <w:rPr>
          <w:rFonts w:ascii="Times New Roman" w:hAnsi="Times New Roman" w:cs="Times New Roman"/>
          <w:color w:val="222222"/>
          <w:sz w:val="24"/>
          <w:szCs w:val="24"/>
          <w:shd w:val="clear" w:color="auto" w:fill="FFFFFF"/>
        </w:rPr>
        <w:t>(2), 3-26.</w:t>
      </w:r>
      <w:bookmarkStart w:id="0" w:name="_GoBack"/>
      <w:bookmarkEnd w:id="0"/>
    </w:p>
    <w:p w:rsidR="00A70DE5" w:rsidRPr="00B00739" w:rsidRDefault="00B00739" w:rsidP="00B00739">
      <w:pPr>
        <w:spacing w:line="480" w:lineRule="auto"/>
        <w:ind w:left="720" w:hanging="720"/>
        <w:rPr>
          <w:rFonts w:ascii="Times New Roman" w:hAnsi="Times New Roman" w:cs="Times New Roman"/>
          <w:color w:val="222222"/>
          <w:sz w:val="24"/>
          <w:szCs w:val="24"/>
          <w:shd w:val="clear" w:color="auto" w:fill="FFFFFF"/>
        </w:rPr>
      </w:pPr>
      <w:r w:rsidRPr="00B00739">
        <w:rPr>
          <w:rFonts w:ascii="Times New Roman" w:hAnsi="Times New Roman" w:cs="Times New Roman"/>
          <w:color w:val="222222"/>
          <w:sz w:val="24"/>
          <w:szCs w:val="24"/>
          <w:shd w:val="clear" w:color="auto" w:fill="FFFFFF"/>
        </w:rPr>
        <w:t>Elson, C. M., &amp;Gyves, C. J. (2003). The Enron Failure and Corporate Governance Reform. </w:t>
      </w:r>
      <w:r w:rsidRPr="00B00739">
        <w:rPr>
          <w:rFonts w:ascii="Times New Roman" w:hAnsi="Times New Roman" w:cs="Times New Roman"/>
          <w:i/>
          <w:iCs/>
          <w:color w:val="222222"/>
          <w:sz w:val="24"/>
          <w:szCs w:val="24"/>
          <w:shd w:val="clear" w:color="auto" w:fill="FFFFFF"/>
        </w:rPr>
        <w:t>Wake Forest L. Rev.</w:t>
      </w:r>
      <w:r w:rsidRPr="00B00739">
        <w:rPr>
          <w:rFonts w:ascii="Times New Roman" w:hAnsi="Times New Roman" w:cs="Times New Roman"/>
          <w:color w:val="222222"/>
          <w:sz w:val="24"/>
          <w:szCs w:val="24"/>
          <w:shd w:val="clear" w:color="auto" w:fill="FFFFFF"/>
        </w:rPr>
        <w:t>, </w:t>
      </w:r>
      <w:r w:rsidRPr="00B00739">
        <w:rPr>
          <w:rFonts w:ascii="Times New Roman" w:hAnsi="Times New Roman" w:cs="Times New Roman"/>
          <w:i/>
          <w:iCs/>
          <w:color w:val="222222"/>
          <w:sz w:val="24"/>
          <w:szCs w:val="24"/>
          <w:shd w:val="clear" w:color="auto" w:fill="FFFFFF"/>
        </w:rPr>
        <w:t>38</w:t>
      </w:r>
      <w:r w:rsidRPr="00B00739">
        <w:rPr>
          <w:rFonts w:ascii="Times New Roman" w:hAnsi="Times New Roman" w:cs="Times New Roman"/>
          <w:color w:val="222222"/>
          <w:sz w:val="24"/>
          <w:szCs w:val="24"/>
          <w:shd w:val="clear" w:color="auto" w:fill="FFFFFF"/>
        </w:rPr>
        <w:t>, 855.</w:t>
      </w:r>
    </w:p>
    <w:p w:rsidR="00B00739" w:rsidRPr="00B00739" w:rsidRDefault="00B00739" w:rsidP="00B00739">
      <w:pPr>
        <w:spacing w:line="480" w:lineRule="auto"/>
        <w:ind w:left="720" w:hanging="720"/>
        <w:rPr>
          <w:rFonts w:ascii="Times New Roman" w:hAnsi="Times New Roman" w:cs="Times New Roman"/>
          <w:color w:val="222222"/>
          <w:sz w:val="24"/>
          <w:szCs w:val="24"/>
          <w:shd w:val="clear" w:color="auto" w:fill="FFFFFF"/>
        </w:rPr>
      </w:pPr>
      <w:r w:rsidRPr="00B00739">
        <w:rPr>
          <w:rFonts w:ascii="Times New Roman" w:hAnsi="Times New Roman" w:cs="Times New Roman"/>
          <w:color w:val="222222"/>
          <w:sz w:val="24"/>
          <w:szCs w:val="24"/>
          <w:shd w:val="clear" w:color="auto" w:fill="FFFFFF"/>
        </w:rPr>
        <w:t>Brennan, D. M. (2003). Enron and failed futures: Policy and corporate governance in the wake of Enron's collapse. </w:t>
      </w:r>
      <w:r w:rsidRPr="00B00739">
        <w:rPr>
          <w:rFonts w:ascii="Times New Roman" w:hAnsi="Times New Roman" w:cs="Times New Roman"/>
          <w:i/>
          <w:iCs/>
          <w:color w:val="222222"/>
          <w:sz w:val="24"/>
          <w:szCs w:val="24"/>
          <w:shd w:val="clear" w:color="auto" w:fill="FFFFFF"/>
        </w:rPr>
        <w:t>Social Text</w:t>
      </w:r>
      <w:r w:rsidRPr="00B00739">
        <w:rPr>
          <w:rFonts w:ascii="Times New Roman" w:hAnsi="Times New Roman" w:cs="Times New Roman"/>
          <w:color w:val="222222"/>
          <w:sz w:val="24"/>
          <w:szCs w:val="24"/>
          <w:shd w:val="clear" w:color="auto" w:fill="FFFFFF"/>
        </w:rPr>
        <w:t>, </w:t>
      </w:r>
      <w:r w:rsidRPr="00B00739">
        <w:rPr>
          <w:rFonts w:ascii="Times New Roman" w:hAnsi="Times New Roman" w:cs="Times New Roman"/>
          <w:i/>
          <w:iCs/>
          <w:color w:val="222222"/>
          <w:sz w:val="24"/>
          <w:szCs w:val="24"/>
          <w:shd w:val="clear" w:color="auto" w:fill="FFFFFF"/>
        </w:rPr>
        <w:t>21</w:t>
      </w:r>
      <w:r w:rsidRPr="00B00739">
        <w:rPr>
          <w:rFonts w:ascii="Times New Roman" w:hAnsi="Times New Roman" w:cs="Times New Roman"/>
          <w:color w:val="222222"/>
          <w:sz w:val="24"/>
          <w:szCs w:val="24"/>
          <w:shd w:val="clear" w:color="auto" w:fill="FFFFFF"/>
        </w:rPr>
        <w:t>(4), 35-50.</w:t>
      </w:r>
    </w:p>
    <w:p w:rsidR="00B00739" w:rsidRPr="00B00739" w:rsidRDefault="00B00739" w:rsidP="00B00739">
      <w:pPr>
        <w:spacing w:line="480" w:lineRule="auto"/>
        <w:ind w:firstLine="720"/>
        <w:rPr>
          <w:rFonts w:ascii="Times New Roman" w:hAnsi="Times New Roman" w:cs="Times New Roman"/>
          <w:sz w:val="24"/>
          <w:szCs w:val="24"/>
        </w:rPr>
      </w:pPr>
    </w:p>
    <w:sectPr w:rsidR="00B00739" w:rsidRPr="00B00739" w:rsidSect="009877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E2" w:rsidRDefault="00C606E2" w:rsidP="00987747">
      <w:pPr>
        <w:spacing w:after="0" w:line="240" w:lineRule="auto"/>
      </w:pPr>
      <w:r>
        <w:separator/>
      </w:r>
    </w:p>
  </w:endnote>
  <w:endnote w:type="continuationSeparator" w:id="1">
    <w:p w:rsidR="00C606E2" w:rsidRDefault="00C606E2" w:rsidP="00987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E2" w:rsidRDefault="00C606E2" w:rsidP="00987747">
      <w:pPr>
        <w:spacing w:after="0" w:line="240" w:lineRule="auto"/>
      </w:pPr>
      <w:r>
        <w:separator/>
      </w:r>
    </w:p>
  </w:footnote>
  <w:footnote w:type="continuationSeparator" w:id="1">
    <w:p w:rsidR="00C606E2" w:rsidRDefault="00C606E2" w:rsidP="00987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47" w:rsidRPr="00A70DE5" w:rsidRDefault="00987747" w:rsidP="00A70DE5">
    <w:pPr>
      <w:pStyle w:val="Header"/>
      <w:jc w:val="right"/>
      <w:rPr>
        <w:rFonts w:ascii="Times New Roman" w:hAnsi="Times New Roman" w:cs="Times New Roman"/>
        <w:sz w:val="24"/>
        <w:szCs w:val="24"/>
      </w:rPr>
    </w:pPr>
    <w:r w:rsidRPr="00A70DE5">
      <w:rPr>
        <w:rFonts w:ascii="Times New Roman" w:hAnsi="Times New Roman" w:cs="Times New Roman"/>
        <w:sz w:val="24"/>
        <w:szCs w:val="24"/>
      </w:rPr>
      <w:t xml:space="preserve">PAPER ON ENRON ETHICS                                                                                                        </w:t>
    </w:r>
    <w:sdt>
      <w:sdtPr>
        <w:rPr>
          <w:rFonts w:ascii="Times New Roman" w:hAnsi="Times New Roman" w:cs="Times New Roman"/>
          <w:sz w:val="24"/>
          <w:szCs w:val="24"/>
        </w:rPr>
        <w:id w:val="-1303692076"/>
        <w:docPartObj>
          <w:docPartGallery w:val="Page Numbers (Top of Page)"/>
          <w:docPartUnique/>
        </w:docPartObj>
      </w:sdtPr>
      <w:sdtEndPr>
        <w:rPr>
          <w:noProof/>
        </w:rPr>
      </w:sdtEndPr>
      <w:sdtContent>
        <w:r w:rsidR="00EB7304" w:rsidRPr="00A70DE5">
          <w:rPr>
            <w:rFonts w:ascii="Times New Roman" w:hAnsi="Times New Roman" w:cs="Times New Roman"/>
            <w:sz w:val="24"/>
            <w:szCs w:val="24"/>
          </w:rPr>
          <w:fldChar w:fldCharType="begin"/>
        </w:r>
        <w:r w:rsidRPr="00A70DE5">
          <w:rPr>
            <w:rFonts w:ascii="Times New Roman" w:hAnsi="Times New Roman" w:cs="Times New Roman"/>
            <w:sz w:val="24"/>
            <w:szCs w:val="24"/>
          </w:rPr>
          <w:instrText xml:space="preserve"> PAGE   \* MERGEFORMAT </w:instrText>
        </w:r>
        <w:r w:rsidR="00EB7304" w:rsidRPr="00A70DE5">
          <w:rPr>
            <w:rFonts w:ascii="Times New Roman" w:hAnsi="Times New Roman" w:cs="Times New Roman"/>
            <w:sz w:val="24"/>
            <w:szCs w:val="24"/>
          </w:rPr>
          <w:fldChar w:fldCharType="separate"/>
        </w:r>
        <w:r w:rsidR="003638A3">
          <w:rPr>
            <w:rFonts w:ascii="Times New Roman" w:hAnsi="Times New Roman" w:cs="Times New Roman"/>
            <w:noProof/>
            <w:sz w:val="24"/>
            <w:szCs w:val="24"/>
          </w:rPr>
          <w:t>5</w:t>
        </w:r>
        <w:r w:rsidR="00EB7304" w:rsidRPr="00A70DE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47" w:rsidRPr="00A70DE5" w:rsidRDefault="00987747" w:rsidP="00A70DE5">
    <w:pPr>
      <w:pStyle w:val="Header"/>
      <w:jc w:val="right"/>
      <w:rPr>
        <w:rFonts w:ascii="Times New Roman" w:hAnsi="Times New Roman" w:cs="Times New Roman"/>
        <w:sz w:val="24"/>
        <w:szCs w:val="24"/>
      </w:rPr>
    </w:pPr>
    <w:r w:rsidRPr="00A70DE5">
      <w:rPr>
        <w:rFonts w:ascii="Times New Roman" w:hAnsi="Times New Roman" w:cs="Times New Roman"/>
        <w:sz w:val="24"/>
        <w:szCs w:val="24"/>
      </w:rPr>
      <w:t xml:space="preserve">Running head: PAPER ON ENRON ETHICS                                                                               </w:t>
    </w:r>
    <w:sdt>
      <w:sdtPr>
        <w:rPr>
          <w:rFonts w:ascii="Times New Roman" w:hAnsi="Times New Roman" w:cs="Times New Roman"/>
          <w:sz w:val="24"/>
          <w:szCs w:val="24"/>
        </w:rPr>
        <w:id w:val="-974902358"/>
        <w:docPartObj>
          <w:docPartGallery w:val="Page Numbers (Top of Page)"/>
          <w:docPartUnique/>
        </w:docPartObj>
      </w:sdtPr>
      <w:sdtEndPr>
        <w:rPr>
          <w:noProof/>
        </w:rPr>
      </w:sdtEndPr>
      <w:sdtContent>
        <w:r w:rsidR="00EB7304" w:rsidRPr="00A70DE5">
          <w:rPr>
            <w:rFonts w:ascii="Times New Roman" w:hAnsi="Times New Roman" w:cs="Times New Roman"/>
            <w:sz w:val="24"/>
            <w:szCs w:val="24"/>
          </w:rPr>
          <w:fldChar w:fldCharType="begin"/>
        </w:r>
        <w:r w:rsidRPr="00A70DE5">
          <w:rPr>
            <w:rFonts w:ascii="Times New Roman" w:hAnsi="Times New Roman" w:cs="Times New Roman"/>
            <w:sz w:val="24"/>
            <w:szCs w:val="24"/>
          </w:rPr>
          <w:instrText xml:space="preserve"> PAGE   \* MERGEFORMAT </w:instrText>
        </w:r>
        <w:r w:rsidR="00EB7304" w:rsidRPr="00A70DE5">
          <w:rPr>
            <w:rFonts w:ascii="Times New Roman" w:hAnsi="Times New Roman" w:cs="Times New Roman"/>
            <w:sz w:val="24"/>
            <w:szCs w:val="24"/>
          </w:rPr>
          <w:fldChar w:fldCharType="separate"/>
        </w:r>
        <w:r w:rsidR="003638A3">
          <w:rPr>
            <w:rFonts w:ascii="Times New Roman" w:hAnsi="Times New Roman" w:cs="Times New Roman"/>
            <w:noProof/>
            <w:sz w:val="24"/>
            <w:szCs w:val="24"/>
          </w:rPr>
          <w:t>1</w:t>
        </w:r>
        <w:r w:rsidR="00EB7304" w:rsidRPr="00A70DE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1BB8"/>
    <w:rsid w:val="00234254"/>
    <w:rsid w:val="00254716"/>
    <w:rsid w:val="002C1A8F"/>
    <w:rsid w:val="002D3419"/>
    <w:rsid w:val="003638A3"/>
    <w:rsid w:val="00393740"/>
    <w:rsid w:val="004A4017"/>
    <w:rsid w:val="00511BE2"/>
    <w:rsid w:val="0052346A"/>
    <w:rsid w:val="00555F30"/>
    <w:rsid w:val="006C00B1"/>
    <w:rsid w:val="00791438"/>
    <w:rsid w:val="00851BB8"/>
    <w:rsid w:val="00922CDC"/>
    <w:rsid w:val="00987747"/>
    <w:rsid w:val="00A47083"/>
    <w:rsid w:val="00A70DE5"/>
    <w:rsid w:val="00B00739"/>
    <w:rsid w:val="00C606E2"/>
    <w:rsid w:val="00D55B9F"/>
    <w:rsid w:val="00D95540"/>
    <w:rsid w:val="00EB2BCE"/>
    <w:rsid w:val="00EB7304"/>
    <w:rsid w:val="00EF19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747"/>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747"/>
  </w:style>
  <w:style w:type="paragraph" w:styleId="Footer">
    <w:name w:val="footer"/>
    <w:basedOn w:val="Normal"/>
    <w:link w:val="FooterChar"/>
    <w:uiPriority w:val="99"/>
    <w:unhideWhenUsed/>
    <w:rsid w:val="00987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47"/>
  </w:style>
  <w:style w:type="character" w:customStyle="1" w:styleId="a">
    <w:name w:val="a"/>
    <w:basedOn w:val="DefaultParagraphFont"/>
    <w:rsid w:val="00791438"/>
  </w:style>
  <w:style w:type="character" w:customStyle="1" w:styleId="l7">
    <w:name w:val="l7"/>
    <w:basedOn w:val="DefaultParagraphFont"/>
    <w:rsid w:val="00791438"/>
  </w:style>
  <w:style w:type="character" w:customStyle="1" w:styleId="l6">
    <w:name w:val="l6"/>
    <w:basedOn w:val="DefaultParagraphFont"/>
    <w:rsid w:val="00791438"/>
  </w:style>
  <w:style w:type="character" w:customStyle="1" w:styleId="l8">
    <w:name w:val="l8"/>
    <w:basedOn w:val="DefaultParagraphFont"/>
    <w:rsid w:val="00791438"/>
  </w:style>
  <w:style w:type="character" w:customStyle="1" w:styleId="l9">
    <w:name w:val="l9"/>
    <w:basedOn w:val="DefaultParagraphFont"/>
    <w:rsid w:val="002C1A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2019-03-20T15:40:00Z</dcterms:created>
  <dcterms:modified xsi:type="dcterms:W3CDTF">2019-03-20T15:40:00Z</dcterms:modified>
</cp:coreProperties>
</file>